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6127" w14:textId="02B196B9" w:rsidR="004F4D91" w:rsidRPr="000016F6" w:rsidRDefault="004F4D91" w:rsidP="00736897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b/>
        </w:rPr>
        <w:t>ZUR SOFORTIGEN VERÖFFENTLICHUNG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E60017" w14:textId="77777777" w:rsidR="004F4D91" w:rsidRDefault="004F4D91" w:rsidP="00722338">
      <w:pPr>
        <w:rPr>
          <w:b/>
        </w:rPr>
      </w:pPr>
    </w:p>
    <w:p w14:paraId="019E53EB" w14:textId="62C44F75" w:rsidR="00722338" w:rsidRPr="00F54843" w:rsidRDefault="00722338" w:rsidP="00927277">
      <w:pPr>
        <w:rPr>
          <w:b/>
        </w:rPr>
      </w:pPr>
      <w:r>
        <w:rPr>
          <w:b/>
        </w:rPr>
        <w:t>[SAMTEC LOGO]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</w:t>
      </w:r>
      <w:r w:rsidR="00EE43A8">
        <w:rPr>
          <w:b/>
        </w:rPr>
        <w:t>l</w:t>
      </w:r>
      <w:r>
        <w:rPr>
          <w:b/>
        </w:rPr>
        <w:t>i 2021</w:t>
      </w:r>
    </w:p>
    <w:p w14:paraId="3205FE84" w14:textId="77777777" w:rsidR="00722338" w:rsidRPr="00F54843" w:rsidRDefault="00722338" w:rsidP="002D3D34"/>
    <w:p w14:paraId="2B01E4DF" w14:textId="29DA6F54" w:rsidR="003E38B6" w:rsidRDefault="009004F5" w:rsidP="00D55703">
      <w:pPr>
        <w:jc w:val="center"/>
        <w:rPr>
          <w:b/>
        </w:rPr>
      </w:pPr>
      <w:proofErr w:type="spellStart"/>
      <w:r>
        <w:rPr>
          <w:b/>
        </w:rPr>
        <w:t>Samtec</w:t>
      </w:r>
      <w:proofErr w:type="spellEnd"/>
      <w:r>
        <w:rPr>
          <w:b/>
        </w:rPr>
        <w:t xml:space="preserve"> bringt mit </w:t>
      </w:r>
      <w:proofErr w:type="spellStart"/>
      <w:r>
        <w:rPr>
          <w:b/>
          <w:shd w:val="clear" w:color="auto" w:fill="FFFFFF"/>
        </w:rPr>
        <w:t>AcceleRate</w:t>
      </w:r>
      <w:proofErr w:type="spellEnd"/>
      <w:r>
        <w:rPr>
          <w:b/>
          <w:shd w:val="clear" w:color="auto" w:fill="FFFFFF"/>
          <w:vertAlign w:val="superscript"/>
        </w:rPr>
        <w:t>®</w:t>
      </w:r>
      <w:r>
        <w:rPr>
          <w:b/>
          <w:shd w:val="clear" w:color="auto" w:fill="FFFFFF"/>
        </w:rPr>
        <w:t xml:space="preserve"> HP</w:t>
      </w:r>
      <w:r>
        <w:rPr>
          <w:b/>
        </w:rPr>
        <w:t xml:space="preserve"> die n</w:t>
      </w:r>
      <w:r w:rsidR="00841CDD">
        <w:rPr>
          <w:b/>
        </w:rPr>
        <w:t>eue</w:t>
      </w:r>
      <w:r>
        <w:rPr>
          <w:b/>
        </w:rPr>
        <w:t xml:space="preserve"> Generation </w:t>
      </w:r>
      <w:r>
        <w:rPr>
          <w:b/>
          <w:shd w:val="clear" w:color="auto" w:fill="FFFFFF"/>
        </w:rPr>
        <w:t>Hochleistungs-Arrays</w:t>
      </w:r>
      <w:r>
        <w:rPr>
          <w:b/>
        </w:rPr>
        <w:t xml:space="preserve"> auf den Markt</w:t>
      </w:r>
    </w:p>
    <w:p w14:paraId="175D65B7" w14:textId="3D18A9EC" w:rsidR="00CE1752" w:rsidRPr="00CE1752" w:rsidRDefault="00CE1752" w:rsidP="00D55703">
      <w:pPr>
        <w:jc w:val="center"/>
        <w:rPr>
          <w:bCs/>
          <w:i/>
          <w:iCs/>
        </w:rPr>
      </w:pPr>
    </w:p>
    <w:p w14:paraId="763B9142" w14:textId="3167A16A" w:rsidR="00CE1752" w:rsidRPr="00CE1752" w:rsidRDefault="00344EA9" w:rsidP="00D55703">
      <w:pPr>
        <w:jc w:val="center"/>
        <w:rPr>
          <w:rFonts w:cs="Arial"/>
          <w:bCs/>
          <w:i/>
          <w:iCs/>
          <w:shd w:val="clear" w:color="auto" w:fill="FFFFFF"/>
        </w:rPr>
      </w:pPr>
      <w:r>
        <w:rPr>
          <w:i/>
        </w:rPr>
        <w:t>Grundsystem für neue PICMG COM-HPC</w:t>
      </w:r>
      <w:r>
        <w:rPr>
          <w:i/>
          <w:vertAlign w:val="superscript"/>
        </w:rPr>
        <w:t>®</w:t>
      </w:r>
      <w:r>
        <w:rPr>
          <w:i/>
        </w:rPr>
        <w:t>-Steckverbindungslösungen</w:t>
      </w:r>
    </w:p>
    <w:p w14:paraId="6D6EF528" w14:textId="4255A78F" w:rsidR="004372A9" w:rsidRDefault="000E5271" w:rsidP="00923E53">
      <w:pPr>
        <w:spacing w:before="100" w:beforeAutospacing="1" w:after="100" w:afterAutospacing="1"/>
        <w:rPr>
          <w:color w:val="000000" w:themeColor="text1"/>
        </w:rPr>
      </w:pPr>
      <w:r>
        <w:rPr>
          <w:b/>
          <w:color w:val="000000" w:themeColor="text1"/>
        </w:rPr>
        <w:t>New Albany, Indiana (USA):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Samtec</w:t>
      </w:r>
      <w:proofErr w:type="spellEnd"/>
      <w:r>
        <w:rPr>
          <w:color w:val="000000" w:themeColor="text1"/>
        </w:rPr>
        <w:t xml:space="preserve">, ein 800 Mio. US-Dollar schwerer und in privater Hand befindlicher, globaler Hersteller eines breitgefächerten Angebots an elektronischen Verbindungslösungen, gibt stolz die Einführung der nächsten Generation </w:t>
      </w:r>
      <w:proofErr w:type="spellStart"/>
      <w:r>
        <w:rPr>
          <w:color w:val="000000" w:themeColor="text1"/>
        </w:rPr>
        <w:t>AcceleRate</w:t>
      </w:r>
      <w:proofErr w:type="spellEnd"/>
      <w:r>
        <w:rPr>
          <w:color w:val="000000" w:themeColor="text1"/>
        </w:rPr>
        <w:t xml:space="preserve"> HP High-Performance Arrays bekannt. </w:t>
      </w:r>
      <w:proofErr w:type="spellStart"/>
      <w:r>
        <w:rPr>
          <w:color w:val="000000" w:themeColor="text1"/>
        </w:rPr>
        <w:t>AcceleRate</w:t>
      </w:r>
      <w:proofErr w:type="spellEnd"/>
      <w:r>
        <w:rPr>
          <w:color w:val="000000" w:themeColor="text1"/>
        </w:rPr>
        <w:t xml:space="preserve"> HP unterstützt auf geringstem Raum unglaubliche 112 Gbit/s PAM4 und das High-Performance Array ermöglicht durch die offene Kontaktfeldauslegung eine maximale Flexibilität bei Masse- und Signalführung.</w:t>
      </w:r>
    </w:p>
    <w:p w14:paraId="7954CE4D" w14:textId="26A0E2F4" w:rsidR="00C523F1" w:rsidRDefault="00E73112" w:rsidP="00E73112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So können Systemarchitekten die leistungsfähige symmetrische DP-Signalübertragung, die asymmetrische SE-Übertragung und die </w:t>
      </w:r>
      <w:proofErr w:type="spellStart"/>
      <w:r>
        <w:rPr>
          <w:color w:val="000000" w:themeColor="text1"/>
        </w:rPr>
        <w:t>hochstromige</w:t>
      </w:r>
      <w:proofErr w:type="spellEnd"/>
      <w:r>
        <w:rPr>
          <w:color w:val="000000" w:themeColor="text1"/>
        </w:rPr>
        <w:t xml:space="preserve"> Spannungsversorgung über dieselbe Steckverbindung realisieren.</w:t>
      </w:r>
    </w:p>
    <w:p w14:paraId="08CAB43B" w14:textId="232AD3F9" w:rsidR="00E73112" w:rsidRDefault="00626BA2" w:rsidP="00E73112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Darüber hinaus vereinfachen die </w:t>
      </w:r>
      <w:r w:rsidR="00841CDD">
        <w:rPr>
          <w:color w:val="000000" w:themeColor="text1"/>
        </w:rPr>
        <w:t xml:space="preserve">großen </w:t>
      </w:r>
      <w:r>
        <w:rPr>
          <w:color w:val="000000" w:themeColor="text1"/>
        </w:rPr>
        <w:t xml:space="preserve">Abstände </w:t>
      </w:r>
      <w:r w:rsidR="00841CDD">
        <w:rPr>
          <w:color w:val="000000" w:themeColor="text1"/>
        </w:rPr>
        <w:t>zwischen den</w:t>
      </w:r>
      <w:r>
        <w:rPr>
          <w:color w:val="000000" w:themeColor="text1"/>
        </w:rPr>
        <w:t xml:space="preserve"> 4 Kontaktreihen </w:t>
      </w:r>
      <w:r w:rsidR="00841CDD">
        <w:rPr>
          <w:color w:val="000000" w:themeColor="text1"/>
        </w:rPr>
        <w:t>(</w:t>
      </w:r>
      <w:r>
        <w:rPr>
          <w:color w:val="000000" w:themeColor="text1"/>
        </w:rPr>
        <w:t>2,2/2,4/2,2 mm</w:t>
      </w:r>
      <w:r w:rsidR="00841CDD">
        <w:rPr>
          <w:color w:val="000000" w:themeColor="text1"/>
        </w:rPr>
        <w:t>)</w:t>
      </w:r>
      <w:r>
        <w:rPr>
          <w:color w:val="000000" w:themeColor="text1"/>
        </w:rPr>
        <w:t xml:space="preserve"> die Führung der differentiellen Signalübertragung. Das Übersprechen wird durch die </w:t>
      </w:r>
      <w:r w:rsidR="00841CDD">
        <w:rPr>
          <w:color w:val="000000" w:themeColor="text1"/>
        </w:rPr>
        <w:t>weiteren</w:t>
      </w:r>
      <w:r>
        <w:rPr>
          <w:color w:val="000000" w:themeColor="text1"/>
        </w:rPr>
        <w:t xml:space="preserve"> Abstände und die Möglichkeit verringert, mehr </w:t>
      </w:r>
      <w:proofErr w:type="gramStart"/>
      <w:r>
        <w:rPr>
          <w:color w:val="000000" w:themeColor="text1"/>
        </w:rPr>
        <w:t>Masse-</w:t>
      </w:r>
      <w:proofErr w:type="spellStart"/>
      <w:r>
        <w:rPr>
          <w:color w:val="000000" w:themeColor="text1"/>
        </w:rPr>
        <w:t>Vias</w:t>
      </w:r>
      <w:proofErr w:type="spellEnd"/>
      <w:proofErr w:type="gramEnd"/>
      <w:r>
        <w:rPr>
          <w:color w:val="000000" w:themeColor="text1"/>
        </w:rPr>
        <w:t xml:space="preserve"> um die differentielle Signalleitung herum zu gruppieren.</w:t>
      </w:r>
    </w:p>
    <w:p w14:paraId="568150B3" w14:textId="3D12C7B5" w:rsidR="00626BA2" w:rsidRDefault="00626BA2" w:rsidP="00E73112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„Die neuen High-Performance Arrays aus der </w:t>
      </w:r>
      <w:proofErr w:type="spellStart"/>
      <w:r>
        <w:rPr>
          <w:color w:val="000000" w:themeColor="text1"/>
        </w:rPr>
        <w:t>AcceleRate</w:t>
      </w:r>
      <w:proofErr w:type="spellEnd"/>
      <w:r>
        <w:rPr>
          <w:color w:val="000000" w:themeColor="text1"/>
        </w:rPr>
        <w:t xml:space="preserve"> HP-Familie von </w:t>
      </w:r>
      <w:proofErr w:type="spellStart"/>
      <w:r>
        <w:rPr>
          <w:color w:val="000000" w:themeColor="text1"/>
        </w:rPr>
        <w:t>Samtec</w:t>
      </w:r>
      <w:proofErr w:type="spellEnd"/>
      <w:r>
        <w:rPr>
          <w:color w:val="000000" w:themeColor="text1"/>
        </w:rPr>
        <w:t xml:space="preserve"> setzen den Standard für die Datenübertragung mit 112 Gbit/s PAM4 in kleinem Formfaktor“, sagte Michael Boone, Produktmanager für High-Speed Board-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-Board bei </w:t>
      </w:r>
      <w:proofErr w:type="spellStart"/>
      <w:r>
        <w:rPr>
          <w:color w:val="000000" w:themeColor="text1"/>
        </w:rPr>
        <w:t>Samtec</w:t>
      </w:r>
      <w:proofErr w:type="spellEnd"/>
      <w:r>
        <w:rPr>
          <w:color w:val="000000" w:themeColor="text1"/>
        </w:rPr>
        <w:t>. „Schnell wachsende Anwendungen wie zum Beispiel AI-Beschleunigerkarten, ASIC-Emulatoren und moderne Rechenplattformen nutzen diese einzigartigen Vorteile.“</w:t>
      </w:r>
    </w:p>
    <w:p w14:paraId="3D300E5C" w14:textId="4E3FEB50" w:rsidR="00344EA9" w:rsidRDefault="00841CDD" w:rsidP="00344EA9">
      <w:pPr>
        <w:spacing w:before="100" w:beforeAutospacing="1" w:after="100" w:afterAutospacing="1"/>
        <w:rPr>
          <w:color w:val="000000" w:themeColor="text1"/>
        </w:rPr>
      </w:pPr>
      <w:r>
        <w:rPr>
          <w:shd w:val="clear" w:color="auto" w:fill="FFFFFF"/>
        </w:rPr>
        <w:t>Kernm</w:t>
      </w:r>
      <w:r w:rsidR="00626BA2">
        <w:rPr>
          <w:shd w:val="clear" w:color="auto" w:fill="FFFFFF"/>
        </w:rPr>
        <w:t>erkmale</w:t>
      </w:r>
      <w:r w:rsidR="00626BA2">
        <w:t xml:space="preserve"> der </w:t>
      </w:r>
      <w:proofErr w:type="spellStart"/>
      <w:r w:rsidR="00626BA2">
        <w:rPr>
          <w:color w:val="000000" w:themeColor="text1"/>
        </w:rPr>
        <w:t>AcceleRate</w:t>
      </w:r>
      <w:proofErr w:type="spellEnd"/>
      <w:r w:rsidR="00626BA2">
        <w:rPr>
          <w:color w:val="000000" w:themeColor="text1"/>
        </w:rPr>
        <w:t xml:space="preserve"> HP High-Performance Arrays:</w:t>
      </w:r>
    </w:p>
    <w:p w14:paraId="30CA8529" w14:textId="269661B4" w:rsidR="00E73112" w:rsidRPr="00E73112" w:rsidRDefault="00E7311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shd w:val="clear" w:color="auto" w:fill="FFFFFF"/>
        </w:rPr>
        <w:t>Hohe Kontaktdichte dank 0,635 mm Raster</w:t>
      </w:r>
    </w:p>
    <w:p w14:paraId="4D77E907" w14:textId="72D88F43" w:rsidR="00E73112" w:rsidRPr="00E73112" w:rsidRDefault="00E7311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shd w:val="clear" w:color="auto" w:fill="FFFFFF"/>
        </w:rPr>
        <w:t xml:space="preserve">Steckhöhen von 5 mm </w:t>
      </w:r>
      <w:r w:rsidR="00841CDD">
        <w:rPr>
          <w:shd w:val="clear" w:color="auto" w:fill="FFFFFF"/>
        </w:rPr>
        <w:t>oder</w:t>
      </w:r>
      <w:r>
        <w:rPr>
          <w:shd w:val="clear" w:color="auto" w:fill="FFFFFF"/>
        </w:rPr>
        <w:t xml:space="preserve"> 10 mm</w:t>
      </w:r>
    </w:p>
    <w:p w14:paraId="6DDCA2FB" w14:textId="7382322F" w:rsidR="00626BA2" w:rsidRDefault="00E7311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shd w:val="clear" w:color="auto" w:fill="FFFFFF"/>
        </w:rPr>
        <w:t>Bis zu 400 Kontakte gesamt</w:t>
      </w:r>
    </w:p>
    <w:p w14:paraId="0C337F2C" w14:textId="7FBC6F82" w:rsidR="00E73112" w:rsidRDefault="00626BA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shd w:val="clear" w:color="auto" w:fill="FFFFFF"/>
        </w:rPr>
        <w:t>Geplant sind 1000+ Kontakte</w:t>
      </w:r>
    </w:p>
    <w:p w14:paraId="1FA04910" w14:textId="16E6BF9A" w:rsidR="00344EA9" w:rsidRDefault="00E73112" w:rsidP="00344EA9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shd w:val="clear" w:color="auto" w:fill="FFFFFF"/>
        </w:rPr>
        <w:t>Datenrate ausreichend für PCIe 5.0 und 100 </w:t>
      </w:r>
      <w:proofErr w:type="spellStart"/>
      <w:r>
        <w:rPr>
          <w:shd w:val="clear" w:color="auto" w:fill="FFFFFF"/>
        </w:rPr>
        <w:t>GbE</w:t>
      </w:r>
      <w:proofErr w:type="spellEnd"/>
    </w:p>
    <w:p w14:paraId="11B12311" w14:textId="5E8BA1A6" w:rsidR="00E73112" w:rsidRPr="00E73112" w:rsidRDefault="00E7311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shd w:val="clear" w:color="auto" w:fill="FFFFFF"/>
        </w:rPr>
        <w:t>BGA-Anschlusstechnik für einfache Montage</w:t>
      </w:r>
      <w:r w:rsidR="00841CDD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841CDD">
        <w:rPr>
          <w:shd w:val="clear" w:color="auto" w:fill="FFFFFF"/>
        </w:rPr>
        <w:t>versatztoleranter</w:t>
      </w:r>
      <w:r>
        <w:rPr>
          <w:shd w:val="clear" w:color="auto" w:fill="FFFFFF"/>
        </w:rPr>
        <w:t xml:space="preserve"> Steckvorgang</w:t>
      </w:r>
    </w:p>
    <w:p w14:paraId="2A8DA459" w14:textId="77777777" w:rsidR="00E73112" w:rsidRPr="00E73112" w:rsidRDefault="00E73112" w:rsidP="00E73112">
      <w:pPr>
        <w:ind w:left="720"/>
        <w:contextualSpacing/>
        <w:rPr>
          <w:rFonts w:eastAsia="Times New Roman" w:cs="Arial"/>
          <w:shd w:val="clear" w:color="auto" w:fill="FFFFFF"/>
        </w:rPr>
      </w:pPr>
    </w:p>
    <w:p w14:paraId="51B74FA5" w14:textId="0B40246B" w:rsidR="00344EA9" w:rsidRPr="00344EA9" w:rsidRDefault="00344EA9" w:rsidP="00344EA9">
      <w:pPr>
        <w:rPr>
          <w:rFonts w:eastAsia="Times New Roman" w:cs="Arial"/>
          <w:shd w:val="clear" w:color="auto" w:fill="FFFFFF"/>
        </w:rPr>
      </w:pPr>
      <w:r>
        <w:t xml:space="preserve">Weiterführende Informationen zu den Hochleistungsarrays </w:t>
      </w:r>
      <w:proofErr w:type="spellStart"/>
      <w:r>
        <w:t>AcceleRate</w:t>
      </w:r>
      <w:proofErr w:type="spellEnd"/>
      <w:r>
        <w:t xml:space="preserve"> HP finden Sie auf </w:t>
      </w:r>
      <w:hyperlink r:id="rId8" w:history="1">
        <w:r>
          <w:rPr>
            <w:rStyle w:val="Hyperlink"/>
          </w:rPr>
          <w:t>www.samtec.com/accelerateHP</w:t>
        </w:r>
      </w:hyperlink>
      <w:r>
        <w:t xml:space="preserve">. </w:t>
      </w:r>
    </w:p>
    <w:p w14:paraId="06F8235A" w14:textId="56B54E86" w:rsidR="00344EA9" w:rsidRDefault="00CE1752" w:rsidP="00344EA9">
      <w:pPr>
        <w:spacing w:before="100" w:beforeAutospacing="1" w:after="100" w:afterAutospacing="1"/>
        <w:rPr>
          <w:b/>
          <w:bCs/>
          <w:color w:val="000000" w:themeColor="text1"/>
        </w:rPr>
      </w:pPr>
      <w:r>
        <w:rPr>
          <w:b/>
          <w:color w:val="000000" w:themeColor="text1"/>
        </w:rPr>
        <w:t>PICMG COM-HPC Steckverbinder</w:t>
      </w:r>
    </w:p>
    <w:p w14:paraId="311C97F7" w14:textId="203F99A9" w:rsidR="00101706" w:rsidRPr="00344EA9" w:rsidRDefault="00CE1752" w:rsidP="00344EA9">
      <w:pPr>
        <w:spacing w:before="100" w:beforeAutospacing="1" w:after="100" w:afterAutospacing="1"/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t xml:space="preserve">Die neue Spezifikation nach PICMG COM-HPC bietet </w:t>
      </w:r>
      <w:r w:rsidR="002B0614">
        <w:rPr>
          <w:color w:val="000000" w:themeColor="text1"/>
        </w:rPr>
        <w:t xml:space="preserve">mit dem Konzept eines 400-Kontakt-Steckverbinderpaares auf Basis der </w:t>
      </w:r>
      <w:proofErr w:type="spellStart"/>
      <w:r w:rsidR="002B0614">
        <w:rPr>
          <w:color w:val="000000" w:themeColor="text1"/>
        </w:rPr>
        <w:t>AcceleRate</w:t>
      </w:r>
      <w:proofErr w:type="spellEnd"/>
      <w:r w:rsidR="002B0614">
        <w:rPr>
          <w:color w:val="000000" w:themeColor="text1"/>
        </w:rPr>
        <w:t xml:space="preserve"> HP High-Performance Arrays von </w:t>
      </w:r>
      <w:proofErr w:type="spellStart"/>
      <w:r w:rsidR="002B0614">
        <w:rPr>
          <w:color w:val="000000" w:themeColor="text1"/>
        </w:rPr>
        <w:t>Samtec</w:t>
      </w:r>
      <w:proofErr w:type="spellEnd"/>
      <w:r w:rsidR="002B0614">
        <w:rPr>
          <w:color w:val="000000" w:themeColor="text1"/>
        </w:rPr>
        <w:t xml:space="preserve"> deutlich mehr </w:t>
      </w:r>
      <w:r>
        <w:rPr>
          <w:color w:val="000000" w:themeColor="text1"/>
        </w:rPr>
        <w:t xml:space="preserve">System- und Schnittstellenflexibilität. Die COM-HPC-Steckverbinder von </w:t>
      </w:r>
      <w:proofErr w:type="spellStart"/>
      <w:r>
        <w:rPr>
          <w:color w:val="000000" w:themeColor="text1"/>
        </w:rPr>
        <w:t>Samtec</w:t>
      </w:r>
      <w:proofErr w:type="spellEnd"/>
      <w:r>
        <w:rPr>
          <w:color w:val="000000" w:themeColor="text1"/>
        </w:rPr>
        <w:t xml:space="preserve"> verbinden das Carrier-Board mit den Server- und Client-Modulen. Es werden aktuelle und kommende Schnittstellen wie PCIe 5.0 und bis zu 100 </w:t>
      </w:r>
      <w:proofErr w:type="spellStart"/>
      <w:r>
        <w:rPr>
          <w:color w:val="000000" w:themeColor="text1"/>
        </w:rPr>
        <w:t>GbE</w:t>
      </w:r>
      <w:proofErr w:type="spellEnd"/>
      <w:r>
        <w:rPr>
          <w:color w:val="000000" w:themeColor="text1"/>
        </w:rPr>
        <w:t xml:space="preserve"> unterstützt. Das Steckverbinderpaar ist mit einer Steckhöhe von 5 mm oder 10 mm erhältlich.</w:t>
      </w:r>
    </w:p>
    <w:p w14:paraId="4C5B8360" w14:textId="47AC9F85" w:rsidR="00DA1678" w:rsidRPr="00BB2D2C" w:rsidRDefault="00DA1678" w:rsidP="00DA1678">
      <w:pPr>
        <w:rPr>
          <w:color w:val="000000" w:themeColor="text1"/>
        </w:rPr>
      </w:pPr>
      <w:bookmarkStart w:id="0" w:name="_Hlk20236930"/>
      <w:bookmarkStart w:id="1" w:name="_Hlk20326295"/>
      <w:r>
        <w:t xml:space="preserve">Für weiterführende Informationen zu den COM-HPC-Steckverbindern von </w:t>
      </w:r>
      <w:proofErr w:type="spellStart"/>
      <w:r>
        <w:t>Samtec</w:t>
      </w:r>
      <w:proofErr w:type="spellEnd"/>
      <w:r>
        <w:t xml:space="preserve"> laden Sie sich bitte die</w:t>
      </w:r>
      <w:r w:rsidR="002B0614">
        <w:t xml:space="preserve"> </w:t>
      </w:r>
      <w:proofErr w:type="spellStart"/>
      <w:r w:rsidR="002B0614">
        <w:t>eBroschüre</w:t>
      </w:r>
      <w:proofErr w:type="spellEnd"/>
      <w:r>
        <w:t xml:space="preserve"> </w:t>
      </w:r>
      <w:hyperlink w:history="1">
        <w:r w:rsidR="002B0614" w:rsidRPr="00713DD4">
          <w:rPr>
            <w:rStyle w:val="Hyperlink"/>
          </w:rPr>
          <w:t>COM-HPC</w:t>
        </w:r>
        <w:r w:rsidR="002B0614" w:rsidRPr="00713DD4">
          <w:rPr>
            <w:rStyle w:val="Hyperlink"/>
            <w:vertAlign w:val="superscript"/>
          </w:rPr>
          <w:t xml:space="preserve"> </w:t>
        </w:r>
        <w:r w:rsidR="002B0614" w:rsidRPr="00713DD4">
          <w:rPr>
            <w:rStyle w:val="Hyperlink"/>
          </w:rPr>
          <w:t>Interconnect Solutions</w:t>
        </w:r>
      </w:hyperlink>
      <w:r>
        <w:t xml:space="preserve"> herunter, besuchen </w:t>
      </w:r>
      <w:hyperlink r:id="rId9" w:history="1">
        <w:r>
          <w:rPr>
            <w:rStyle w:val="Hyperlink"/>
          </w:rPr>
          <w:t>www.samtec.com/COMHPC</w:t>
        </w:r>
      </w:hyperlink>
      <w:r>
        <w:t xml:space="preserve"> oder wenden sich per E-Mail </w:t>
      </w:r>
      <w:hyperlink r:id="rId10" w:history="1">
        <w:r>
          <w:rPr>
            <w:rStyle w:val="Hyperlink"/>
          </w:rPr>
          <w:t>COMHPC@samtec.com</w:t>
        </w:r>
      </w:hyperlink>
      <w:r>
        <w:t xml:space="preserve"> an </w:t>
      </w:r>
      <w:r w:rsidR="002B0614">
        <w:t xml:space="preserve">die Fachleute </w:t>
      </w:r>
      <w:r>
        <w:t>unsere</w:t>
      </w:r>
      <w:r w:rsidR="002B0614">
        <w:t>r</w:t>
      </w:r>
      <w:r>
        <w:t xml:space="preserve"> technische</w:t>
      </w:r>
      <w:r w:rsidR="002B0614">
        <w:t>n</w:t>
      </w:r>
      <w:r>
        <w:t xml:space="preserve"> Abteilung. </w:t>
      </w:r>
    </w:p>
    <w:p w14:paraId="08DC29C5" w14:textId="77777777" w:rsidR="00DA1678" w:rsidRDefault="00DA1678" w:rsidP="008F43AA">
      <w:pPr>
        <w:rPr>
          <w:b/>
        </w:rPr>
      </w:pPr>
    </w:p>
    <w:p w14:paraId="6A0CE51E" w14:textId="311058EF" w:rsidR="00BB2D2C" w:rsidRDefault="00BB2D2C" w:rsidP="00BB2D2C">
      <w:pPr>
        <w:rPr>
          <w:b/>
        </w:rPr>
      </w:pPr>
      <w:r>
        <w:rPr>
          <w:b/>
        </w:rPr>
        <w:t xml:space="preserve">Über </w:t>
      </w:r>
      <w:proofErr w:type="spellStart"/>
      <w:r>
        <w:rPr>
          <w:b/>
        </w:rPr>
        <w:t>Samtec</w:t>
      </w:r>
      <w:proofErr w:type="spellEnd"/>
      <w:r>
        <w:br/>
        <w:t xml:space="preserve">Das 1976 gegründete Privatunternehmen </w:t>
      </w:r>
      <w:proofErr w:type="spellStart"/>
      <w:r>
        <w:t>Samtec</w:t>
      </w:r>
      <w:proofErr w:type="spellEnd"/>
      <w:r>
        <w:t xml:space="preserve"> mit einem Jahresumsatz von 800 Mio. US-Dollar ist ein weltweit aufgestellter Hersteller einer breiten Palette an elektronischen Verbindungslösungen. Dazu gehören Hochgeschwindigkeits-B2B-Steckverbinder und -kabel, optische Mid-Board- und Panel-Einheiten, Verbinder mit flexibler Steckhöhe, robuste Bauelemente und Kabel im Mikroformat sowie präzise HF-Technik. </w:t>
      </w:r>
      <w:proofErr w:type="spellStart"/>
      <w:r>
        <w:t>Samtec</w:t>
      </w:r>
      <w:proofErr w:type="spellEnd"/>
      <w:r>
        <w:t xml:space="preserve"> verfügt über 40 internationale Standorte und verkauft seine Produkte in mehr als 125 Länder. </w:t>
      </w:r>
      <w:proofErr w:type="gramStart"/>
      <w:r>
        <w:t>Diese globale Präsenz</w:t>
      </w:r>
      <w:proofErr w:type="gramEnd"/>
      <w:r>
        <w:t xml:space="preserve"> macht die bislang unerreichte Qualität des Kundendienstes möglich. Weiterführende Informationen finden Sie auf </w:t>
      </w:r>
      <w:hyperlink r:id="rId11" w:tgtFrame="_blank" w:history="1">
        <w:r>
          <w:rPr>
            <w:rStyle w:val="Hyperlink"/>
          </w:rPr>
          <w:t>http://www.samtec.com</w:t>
        </w:r>
      </w:hyperlink>
      <w:r>
        <w:t>.</w:t>
      </w:r>
    </w:p>
    <w:p w14:paraId="5FF1E196" w14:textId="77777777" w:rsidR="00DC5C10" w:rsidRDefault="00DC5C10" w:rsidP="000E0B7D">
      <w:pPr>
        <w:rPr>
          <w:color w:val="000000" w:themeColor="text1"/>
        </w:rPr>
      </w:pPr>
    </w:p>
    <w:bookmarkEnd w:id="0"/>
    <w:p w14:paraId="6133B971" w14:textId="77777777" w:rsidR="00054FE6" w:rsidRPr="00365A30" w:rsidRDefault="002B5934" w:rsidP="008F43AA">
      <w:pPr>
        <w:rPr>
          <w:b/>
        </w:rPr>
      </w:pPr>
      <w:proofErr w:type="spellStart"/>
      <w:r>
        <w:rPr>
          <w:b/>
        </w:rPr>
        <w:t>Samtec</w:t>
      </w:r>
      <w:proofErr w:type="spellEnd"/>
      <w:r>
        <w:rPr>
          <w:b/>
        </w:rPr>
        <w:t>, Inc.</w:t>
      </w:r>
    </w:p>
    <w:p w14:paraId="185E1831" w14:textId="77777777" w:rsidR="00054FE6" w:rsidRPr="00365A30" w:rsidRDefault="006A518D" w:rsidP="008F43AA">
      <w:pPr>
        <w:rPr>
          <w:b/>
        </w:rPr>
      </w:pPr>
      <w:r>
        <w:rPr>
          <w:b/>
        </w:rPr>
        <w:t>P.O. Box 1147</w:t>
      </w:r>
    </w:p>
    <w:p w14:paraId="6CD2D81B" w14:textId="77777777" w:rsidR="00054FE6" w:rsidRPr="00365A30" w:rsidRDefault="006A518D" w:rsidP="008F43AA">
      <w:pPr>
        <w:rPr>
          <w:b/>
        </w:rPr>
      </w:pPr>
      <w:r>
        <w:rPr>
          <w:b/>
        </w:rPr>
        <w:t xml:space="preserve">New Albany, IN 47151-1147 </w:t>
      </w:r>
    </w:p>
    <w:p w14:paraId="6FB96882" w14:textId="77777777" w:rsidR="00054FE6" w:rsidRPr="00A84ED0" w:rsidRDefault="006A518D" w:rsidP="008F43AA">
      <w:pPr>
        <w:rPr>
          <w:b/>
        </w:rPr>
      </w:pPr>
      <w:r>
        <w:rPr>
          <w:b/>
        </w:rPr>
        <w:t xml:space="preserve">USA </w:t>
      </w:r>
    </w:p>
    <w:p w14:paraId="36EB483A" w14:textId="77777777" w:rsidR="00054FE6" w:rsidRPr="00A84ED0" w:rsidRDefault="006A518D" w:rsidP="008F43AA">
      <w:pPr>
        <w:rPr>
          <w:b/>
        </w:rPr>
      </w:pPr>
      <w:r>
        <w:rPr>
          <w:b/>
        </w:rPr>
        <w:t>Telefon: 1-800-SAMTEC-9 (800-726-8329)</w:t>
      </w:r>
    </w:p>
    <w:p w14:paraId="7B3E9C6D" w14:textId="1FE66C38" w:rsidR="001836B4" w:rsidRPr="00A84ED0" w:rsidRDefault="00F429E4" w:rsidP="008F43AA">
      <w:pPr>
        <w:rPr>
          <w:b/>
        </w:rPr>
      </w:pPr>
      <w:hyperlink r:id="rId12" w:history="1">
        <w:r w:rsidR="00303166">
          <w:rPr>
            <w:rStyle w:val="Hyperlink"/>
            <w:b/>
          </w:rPr>
          <w:t>www.samtec.com</w:t>
        </w:r>
      </w:hyperlink>
      <w:r w:rsidR="00303166">
        <w:rPr>
          <w:b/>
        </w:rPr>
        <w:t xml:space="preserve"> </w:t>
      </w:r>
      <w:bookmarkEnd w:id="1"/>
    </w:p>
    <w:p w14:paraId="65D27443" w14:textId="55C318F6" w:rsidR="008C11F5" w:rsidRPr="00A84ED0" w:rsidRDefault="008C11F5" w:rsidP="008F43AA">
      <w:pPr>
        <w:rPr>
          <w:lang w:val="fr-FR"/>
        </w:rPr>
      </w:pPr>
    </w:p>
    <w:p w14:paraId="26EE9680" w14:textId="77777777" w:rsidR="008C11F5" w:rsidRPr="00A84ED0" w:rsidRDefault="008C11F5" w:rsidP="008C11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color w:val="000000"/>
        </w:rPr>
        <w:t xml:space="preserve">### </w:t>
      </w:r>
    </w:p>
    <w:p w14:paraId="2A1081EB" w14:textId="77777777" w:rsidR="008C11F5" w:rsidRPr="00A84ED0" w:rsidRDefault="008C11F5" w:rsidP="008C11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b/>
          <w:color w:val="000000"/>
        </w:rPr>
        <w:t xml:space="preserve">Kontakt PR: </w:t>
      </w:r>
    </w:p>
    <w:p w14:paraId="5654F0E8" w14:textId="77777777" w:rsidR="008C11F5" w:rsidRPr="00A84ED0" w:rsidRDefault="008C11F5" w:rsidP="008C11F5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>
        <w:t>Matt Burns</w:t>
      </w:r>
    </w:p>
    <w:p w14:paraId="13AADAA3" w14:textId="77777777" w:rsidR="008C11F5" w:rsidRPr="00A84ED0" w:rsidRDefault="00F429E4" w:rsidP="008C11F5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hyperlink r:id="rId13" w:history="1">
        <w:r w:rsidR="00303166">
          <w:rPr>
            <w:rStyle w:val="Hyperlink"/>
          </w:rPr>
          <w:t>matthew.burns@samtec.com</w:t>
        </w:r>
      </w:hyperlink>
    </w:p>
    <w:p w14:paraId="1C925757" w14:textId="77777777" w:rsidR="008C11F5" w:rsidRPr="00A84ED0" w:rsidRDefault="008C11F5" w:rsidP="008C11F5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>
        <w:t>+1 812-944-6733</w:t>
      </w:r>
    </w:p>
    <w:p w14:paraId="38A1816A" w14:textId="76018DA0" w:rsidR="008C11F5" w:rsidRPr="00A84ED0" w:rsidRDefault="008C11F5" w:rsidP="008F43AA">
      <w:pPr>
        <w:rPr>
          <w:lang w:val="fr-FR"/>
        </w:rPr>
      </w:pPr>
    </w:p>
    <w:sectPr w:rsidR="008C11F5" w:rsidRPr="00A84ED0" w:rsidSect="0048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BE08A" w14:textId="77777777" w:rsidR="00F429E4" w:rsidRDefault="00F429E4" w:rsidP="00046271">
      <w:r>
        <w:separator/>
      </w:r>
    </w:p>
  </w:endnote>
  <w:endnote w:type="continuationSeparator" w:id="0">
    <w:p w14:paraId="09D1B929" w14:textId="77777777" w:rsidR="00F429E4" w:rsidRDefault="00F429E4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312D1" w14:textId="77777777" w:rsidR="00F429E4" w:rsidRDefault="00F429E4" w:rsidP="00046271">
      <w:r>
        <w:separator/>
      </w:r>
    </w:p>
  </w:footnote>
  <w:footnote w:type="continuationSeparator" w:id="0">
    <w:p w14:paraId="09F3556D" w14:textId="77777777" w:rsidR="00F429E4" w:rsidRDefault="00F429E4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2D8C"/>
    <w:multiLevelType w:val="multilevel"/>
    <w:tmpl w:val="180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580B"/>
    <w:multiLevelType w:val="hybridMultilevel"/>
    <w:tmpl w:val="EB3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2C61A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5648"/>
    <w:multiLevelType w:val="hybridMultilevel"/>
    <w:tmpl w:val="AE0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5D98"/>
    <w:multiLevelType w:val="hybridMultilevel"/>
    <w:tmpl w:val="B5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0CC3"/>
    <w:multiLevelType w:val="hybridMultilevel"/>
    <w:tmpl w:val="57107222"/>
    <w:lvl w:ilvl="0" w:tplc="E238144E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ED71C0"/>
    <w:multiLevelType w:val="hybridMultilevel"/>
    <w:tmpl w:val="EA2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6"/>
  </w:num>
  <w:num w:numId="10">
    <w:abstractNumId w:val="19"/>
  </w:num>
  <w:num w:numId="11">
    <w:abstractNumId w:val="16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3"/>
  </w:num>
  <w:num w:numId="17">
    <w:abstractNumId w:val="17"/>
  </w:num>
  <w:num w:numId="18">
    <w:abstractNumId w:val="9"/>
  </w:num>
  <w:num w:numId="19">
    <w:abstractNumId w:val="11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853"/>
    <w:rsid w:val="00012591"/>
    <w:rsid w:val="00016EBD"/>
    <w:rsid w:val="0002382B"/>
    <w:rsid w:val="000256DC"/>
    <w:rsid w:val="00031D1B"/>
    <w:rsid w:val="00035399"/>
    <w:rsid w:val="00037285"/>
    <w:rsid w:val="000373AD"/>
    <w:rsid w:val="00042BD2"/>
    <w:rsid w:val="000452F4"/>
    <w:rsid w:val="00046271"/>
    <w:rsid w:val="000505BA"/>
    <w:rsid w:val="00052AB0"/>
    <w:rsid w:val="00054FE6"/>
    <w:rsid w:val="00072514"/>
    <w:rsid w:val="00074A3F"/>
    <w:rsid w:val="0007589B"/>
    <w:rsid w:val="00080C15"/>
    <w:rsid w:val="00084256"/>
    <w:rsid w:val="00096025"/>
    <w:rsid w:val="00097C41"/>
    <w:rsid w:val="000A2857"/>
    <w:rsid w:val="000A697B"/>
    <w:rsid w:val="000A69E8"/>
    <w:rsid w:val="000C3B82"/>
    <w:rsid w:val="000E0B7D"/>
    <w:rsid w:val="000E22CD"/>
    <w:rsid w:val="000E5271"/>
    <w:rsid w:val="00101706"/>
    <w:rsid w:val="00101B22"/>
    <w:rsid w:val="00102CA8"/>
    <w:rsid w:val="001134AC"/>
    <w:rsid w:val="001220D3"/>
    <w:rsid w:val="00123CA7"/>
    <w:rsid w:val="001275EE"/>
    <w:rsid w:val="001308CB"/>
    <w:rsid w:val="001337F4"/>
    <w:rsid w:val="00134B71"/>
    <w:rsid w:val="00137AED"/>
    <w:rsid w:val="0014284B"/>
    <w:rsid w:val="001442F7"/>
    <w:rsid w:val="00152E6B"/>
    <w:rsid w:val="00153EC7"/>
    <w:rsid w:val="00160605"/>
    <w:rsid w:val="0016356A"/>
    <w:rsid w:val="0016385C"/>
    <w:rsid w:val="001664BB"/>
    <w:rsid w:val="00166AC6"/>
    <w:rsid w:val="001730B2"/>
    <w:rsid w:val="001741C7"/>
    <w:rsid w:val="00176731"/>
    <w:rsid w:val="001836B4"/>
    <w:rsid w:val="00184564"/>
    <w:rsid w:val="00184C7A"/>
    <w:rsid w:val="00186C70"/>
    <w:rsid w:val="00190347"/>
    <w:rsid w:val="001A108E"/>
    <w:rsid w:val="001B40E4"/>
    <w:rsid w:val="001C19F1"/>
    <w:rsid w:val="001D1BE5"/>
    <w:rsid w:val="001D52FC"/>
    <w:rsid w:val="001E78A5"/>
    <w:rsid w:val="001F0998"/>
    <w:rsid w:val="001F2CBB"/>
    <w:rsid w:val="00201A22"/>
    <w:rsid w:val="002132DF"/>
    <w:rsid w:val="00226FA7"/>
    <w:rsid w:val="0023344F"/>
    <w:rsid w:val="00240012"/>
    <w:rsid w:val="00243A49"/>
    <w:rsid w:val="002555D2"/>
    <w:rsid w:val="00255C37"/>
    <w:rsid w:val="00264DF5"/>
    <w:rsid w:val="002674F0"/>
    <w:rsid w:val="002716BE"/>
    <w:rsid w:val="00295825"/>
    <w:rsid w:val="002969DD"/>
    <w:rsid w:val="002A3CC6"/>
    <w:rsid w:val="002B0614"/>
    <w:rsid w:val="002B2857"/>
    <w:rsid w:val="002B2CA6"/>
    <w:rsid w:val="002B31A8"/>
    <w:rsid w:val="002B5934"/>
    <w:rsid w:val="002C3512"/>
    <w:rsid w:val="002C491D"/>
    <w:rsid w:val="002D0B6F"/>
    <w:rsid w:val="002D2A4B"/>
    <w:rsid w:val="002D3D34"/>
    <w:rsid w:val="002D5174"/>
    <w:rsid w:val="002E26F1"/>
    <w:rsid w:val="002F4303"/>
    <w:rsid w:val="002F4CD1"/>
    <w:rsid w:val="002F50C8"/>
    <w:rsid w:val="002F52E3"/>
    <w:rsid w:val="00302FB0"/>
    <w:rsid w:val="00303166"/>
    <w:rsid w:val="003148ED"/>
    <w:rsid w:val="00315FF5"/>
    <w:rsid w:val="0031788A"/>
    <w:rsid w:val="00342155"/>
    <w:rsid w:val="00344EA9"/>
    <w:rsid w:val="0035700D"/>
    <w:rsid w:val="00365A30"/>
    <w:rsid w:val="00373FE8"/>
    <w:rsid w:val="0038089E"/>
    <w:rsid w:val="00385E9E"/>
    <w:rsid w:val="0038786E"/>
    <w:rsid w:val="00393971"/>
    <w:rsid w:val="003971C8"/>
    <w:rsid w:val="003A04E0"/>
    <w:rsid w:val="003A3231"/>
    <w:rsid w:val="003B048E"/>
    <w:rsid w:val="003B3154"/>
    <w:rsid w:val="003C242F"/>
    <w:rsid w:val="003E095D"/>
    <w:rsid w:val="003E38B6"/>
    <w:rsid w:val="003F4509"/>
    <w:rsid w:val="003F51AD"/>
    <w:rsid w:val="003F5386"/>
    <w:rsid w:val="003F55B3"/>
    <w:rsid w:val="003F60E3"/>
    <w:rsid w:val="00404579"/>
    <w:rsid w:val="004063F1"/>
    <w:rsid w:val="0040706B"/>
    <w:rsid w:val="00410A0B"/>
    <w:rsid w:val="00410B97"/>
    <w:rsid w:val="00413F41"/>
    <w:rsid w:val="0042343F"/>
    <w:rsid w:val="004259FE"/>
    <w:rsid w:val="0043001F"/>
    <w:rsid w:val="004372A9"/>
    <w:rsid w:val="00451392"/>
    <w:rsid w:val="00452031"/>
    <w:rsid w:val="00453C0C"/>
    <w:rsid w:val="00460E88"/>
    <w:rsid w:val="004628DB"/>
    <w:rsid w:val="004629BE"/>
    <w:rsid w:val="00463491"/>
    <w:rsid w:val="00464B19"/>
    <w:rsid w:val="004653E9"/>
    <w:rsid w:val="00471E69"/>
    <w:rsid w:val="004735DE"/>
    <w:rsid w:val="004754CD"/>
    <w:rsid w:val="00476CD4"/>
    <w:rsid w:val="00484AAF"/>
    <w:rsid w:val="0048543B"/>
    <w:rsid w:val="0048642D"/>
    <w:rsid w:val="00487AC6"/>
    <w:rsid w:val="00493E73"/>
    <w:rsid w:val="004B0682"/>
    <w:rsid w:val="004B28B3"/>
    <w:rsid w:val="004B4B73"/>
    <w:rsid w:val="004B662A"/>
    <w:rsid w:val="004C0647"/>
    <w:rsid w:val="004F00B9"/>
    <w:rsid w:val="004F323E"/>
    <w:rsid w:val="004F4D91"/>
    <w:rsid w:val="004F6794"/>
    <w:rsid w:val="00500420"/>
    <w:rsid w:val="0050319D"/>
    <w:rsid w:val="005042DE"/>
    <w:rsid w:val="005058FB"/>
    <w:rsid w:val="0050773C"/>
    <w:rsid w:val="00512968"/>
    <w:rsid w:val="00520BB7"/>
    <w:rsid w:val="00521471"/>
    <w:rsid w:val="00534BE6"/>
    <w:rsid w:val="00540120"/>
    <w:rsid w:val="00542ACA"/>
    <w:rsid w:val="005435A8"/>
    <w:rsid w:val="0054607D"/>
    <w:rsid w:val="005466A3"/>
    <w:rsid w:val="00550B0A"/>
    <w:rsid w:val="0055308C"/>
    <w:rsid w:val="005551AE"/>
    <w:rsid w:val="00560BC6"/>
    <w:rsid w:val="0057124F"/>
    <w:rsid w:val="005867D6"/>
    <w:rsid w:val="00586C0C"/>
    <w:rsid w:val="00590914"/>
    <w:rsid w:val="005967B6"/>
    <w:rsid w:val="005A4774"/>
    <w:rsid w:val="005A51AB"/>
    <w:rsid w:val="005A68A7"/>
    <w:rsid w:val="005B2862"/>
    <w:rsid w:val="005C7296"/>
    <w:rsid w:val="005D3A4F"/>
    <w:rsid w:val="005E2DF1"/>
    <w:rsid w:val="005E53B6"/>
    <w:rsid w:val="005E5CF9"/>
    <w:rsid w:val="005F2337"/>
    <w:rsid w:val="005F6D18"/>
    <w:rsid w:val="005F6EB1"/>
    <w:rsid w:val="00602850"/>
    <w:rsid w:val="006073B8"/>
    <w:rsid w:val="00614E0A"/>
    <w:rsid w:val="00620D9F"/>
    <w:rsid w:val="006257A0"/>
    <w:rsid w:val="00626BA2"/>
    <w:rsid w:val="0062773B"/>
    <w:rsid w:val="00634E19"/>
    <w:rsid w:val="0063608C"/>
    <w:rsid w:val="00643A3B"/>
    <w:rsid w:val="006448E3"/>
    <w:rsid w:val="0064510A"/>
    <w:rsid w:val="00661AFD"/>
    <w:rsid w:val="0067252F"/>
    <w:rsid w:val="006734F5"/>
    <w:rsid w:val="006747AF"/>
    <w:rsid w:val="00675E2D"/>
    <w:rsid w:val="0067721B"/>
    <w:rsid w:val="00680398"/>
    <w:rsid w:val="0069339E"/>
    <w:rsid w:val="006A518D"/>
    <w:rsid w:val="006B2601"/>
    <w:rsid w:val="006C5ECF"/>
    <w:rsid w:val="006D22C9"/>
    <w:rsid w:val="006D25FB"/>
    <w:rsid w:val="006D5265"/>
    <w:rsid w:val="007045A0"/>
    <w:rsid w:val="007054B2"/>
    <w:rsid w:val="00713252"/>
    <w:rsid w:val="0071540A"/>
    <w:rsid w:val="007165A0"/>
    <w:rsid w:val="00720DE3"/>
    <w:rsid w:val="00722338"/>
    <w:rsid w:val="00736897"/>
    <w:rsid w:val="00745AB3"/>
    <w:rsid w:val="00750EA3"/>
    <w:rsid w:val="00753F97"/>
    <w:rsid w:val="00762FCF"/>
    <w:rsid w:val="007635D9"/>
    <w:rsid w:val="00763682"/>
    <w:rsid w:val="00763F1B"/>
    <w:rsid w:val="00790D43"/>
    <w:rsid w:val="00796C37"/>
    <w:rsid w:val="007B7073"/>
    <w:rsid w:val="007C71EB"/>
    <w:rsid w:val="007F07B8"/>
    <w:rsid w:val="007F25E6"/>
    <w:rsid w:val="007F6CC5"/>
    <w:rsid w:val="008007E0"/>
    <w:rsid w:val="0081024E"/>
    <w:rsid w:val="00811E36"/>
    <w:rsid w:val="008142D6"/>
    <w:rsid w:val="00814482"/>
    <w:rsid w:val="00831F53"/>
    <w:rsid w:val="0083492F"/>
    <w:rsid w:val="00841CDD"/>
    <w:rsid w:val="00846793"/>
    <w:rsid w:val="008467F3"/>
    <w:rsid w:val="00847B63"/>
    <w:rsid w:val="008509EA"/>
    <w:rsid w:val="00854481"/>
    <w:rsid w:val="00854FB6"/>
    <w:rsid w:val="008572C3"/>
    <w:rsid w:val="008633BA"/>
    <w:rsid w:val="00863AED"/>
    <w:rsid w:val="00880D96"/>
    <w:rsid w:val="00884B30"/>
    <w:rsid w:val="008969F0"/>
    <w:rsid w:val="008A04FF"/>
    <w:rsid w:val="008A2F6D"/>
    <w:rsid w:val="008A6C19"/>
    <w:rsid w:val="008B5048"/>
    <w:rsid w:val="008B6312"/>
    <w:rsid w:val="008C11F5"/>
    <w:rsid w:val="008C68DD"/>
    <w:rsid w:val="008D1691"/>
    <w:rsid w:val="008E6B1A"/>
    <w:rsid w:val="008F43AA"/>
    <w:rsid w:val="008F593C"/>
    <w:rsid w:val="009004F5"/>
    <w:rsid w:val="009042EB"/>
    <w:rsid w:val="00904897"/>
    <w:rsid w:val="00911378"/>
    <w:rsid w:val="00921752"/>
    <w:rsid w:val="00923E53"/>
    <w:rsid w:val="00926777"/>
    <w:rsid w:val="00927277"/>
    <w:rsid w:val="009447E0"/>
    <w:rsid w:val="009466B9"/>
    <w:rsid w:val="0094785E"/>
    <w:rsid w:val="00955BB9"/>
    <w:rsid w:val="00956BA9"/>
    <w:rsid w:val="00970053"/>
    <w:rsid w:val="00985B19"/>
    <w:rsid w:val="00986CB3"/>
    <w:rsid w:val="009A2557"/>
    <w:rsid w:val="009A3E5C"/>
    <w:rsid w:val="009B12CE"/>
    <w:rsid w:val="009C334C"/>
    <w:rsid w:val="009E2982"/>
    <w:rsid w:val="009E527E"/>
    <w:rsid w:val="009F3380"/>
    <w:rsid w:val="00A0046A"/>
    <w:rsid w:val="00A032FD"/>
    <w:rsid w:val="00A107AB"/>
    <w:rsid w:val="00A11821"/>
    <w:rsid w:val="00A27D66"/>
    <w:rsid w:val="00A30A05"/>
    <w:rsid w:val="00A355B8"/>
    <w:rsid w:val="00A40576"/>
    <w:rsid w:val="00A425E9"/>
    <w:rsid w:val="00A4478D"/>
    <w:rsid w:val="00A45938"/>
    <w:rsid w:val="00A46650"/>
    <w:rsid w:val="00A529E7"/>
    <w:rsid w:val="00A5424E"/>
    <w:rsid w:val="00A55263"/>
    <w:rsid w:val="00A555C1"/>
    <w:rsid w:val="00A569D0"/>
    <w:rsid w:val="00A7121A"/>
    <w:rsid w:val="00A7166B"/>
    <w:rsid w:val="00A74ACD"/>
    <w:rsid w:val="00A756B3"/>
    <w:rsid w:val="00A76585"/>
    <w:rsid w:val="00A76F7A"/>
    <w:rsid w:val="00A7798C"/>
    <w:rsid w:val="00A81057"/>
    <w:rsid w:val="00A827D3"/>
    <w:rsid w:val="00A84ED0"/>
    <w:rsid w:val="00A86DC4"/>
    <w:rsid w:val="00AA409C"/>
    <w:rsid w:val="00AA7DA0"/>
    <w:rsid w:val="00AB37EE"/>
    <w:rsid w:val="00AB4B95"/>
    <w:rsid w:val="00AC08AF"/>
    <w:rsid w:val="00AC0C5F"/>
    <w:rsid w:val="00AC0D5A"/>
    <w:rsid w:val="00AC3729"/>
    <w:rsid w:val="00AC7A79"/>
    <w:rsid w:val="00AC7DAD"/>
    <w:rsid w:val="00AE4DB5"/>
    <w:rsid w:val="00AF4594"/>
    <w:rsid w:val="00B122E0"/>
    <w:rsid w:val="00B21089"/>
    <w:rsid w:val="00B334AB"/>
    <w:rsid w:val="00B45B8D"/>
    <w:rsid w:val="00B4667F"/>
    <w:rsid w:val="00B563B4"/>
    <w:rsid w:val="00B57239"/>
    <w:rsid w:val="00B61BC5"/>
    <w:rsid w:val="00B6327A"/>
    <w:rsid w:val="00B77C50"/>
    <w:rsid w:val="00B82AE2"/>
    <w:rsid w:val="00B94B41"/>
    <w:rsid w:val="00B97A8E"/>
    <w:rsid w:val="00BA1821"/>
    <w:rsid w:val="00BB2D2C"/>
    <w:rsid w:val="00BB4009"/>
    <w:rsid w:val="00BB612A"/>
    <w:rsid w:val="00BC027A"/>
    <w:rsid w:val="00BD007D"/>
    <w:rsid w:val="00BD7624"/>
    <w:rsid w:val="00BE4F88"/>
    <w:rsid w:val="00BF116F"/>
    <w:rsid w:val="00BF1CFF"/>
    <w:rsid w:val="00BF2BD9"/>
    <w:rsid w:val="00BF452A"/>
    <w:rsid w:val="00C15ECF"/>
    <w:rsid w:val="00C22639"/>
    <w:rsid w:val="00C3195A"/>
    <w:rsid w:val="00C32433"/>
    <w:rsid w:val="00C3422E"/>
    <w:rsid w:val="00C34E8C"/>
    <w:rsid w:val="00C35AFC"/>
    <w:rsid w:val="00C37572"/>
    <w:rsid w:val="00C40260"/>
    <w:rsid w:val="00C523F1"/>
    <w:rsid w:val="00C52F15"/>
    <w:rsid w:val="00C6658E"/>
    <w:rsid w:val="00C72172"/>
    <w:rsid w:val="00C924EF"/>
    <w:rsid w:val="00CB0BCB"/>
    <w:rsid w:val="00CB5D17"/>
    <w:rsid w:val="00CC2122"/>
    <w:rsid w:val="00CC2C19"/>
    <w:rsid w:val="00CE1752"/>
    <w:rsid w:val="00CF1D72"/>
    <w:rsid w:val="00CF775A"/>
    <w:rsid w:val="00D15355"/>
    <w:rsid w:val="00D22156"/>
    <w:rsid w:val="00D2221B"/>
    <w:rsid w:val="00D239FD"/>
    <w:rsid w:val="00D23EF7"/>
    <w:rsid w:val="00D241F2"/>
    <w:rsid w:val="00D24CAF"/>
    <w:rsid w:val="00D308E6"/>
    <w:rsid w:val="00D30960"/>
    <w:rsid w:val="00D36665"/>
    <w:rsid w:val="00D379C7"/>
    <w:rsid w:val="00D37FEB"/>
    <w:rsid w:val="00D40813"/>
    <w:rsid w:val="00D462DF"/>
    <w:rsid w:val="00D55703"/>
    <w:rsid w:val="00D5796F"/>
    <w:rsid w:val="00D60030"/>
    <w:rsid w:val="00D63C45"/>
    <w:rsid w:val="00D86B26"/>
    <w:rsid w:val="00D878A3"/>
    <w:rsid w:val="00D9312C"/>
    <w:rsid w:val="00DA0F7C"/>
    <w:rsid w:val="00DA1678"/>
    <w:rsid w:val="00DA189B"/>
    <w:rsid w:val="00DA4EAA"/>
    <w:rsid w:val="00DC54CB"/>
    <w:rsid w:val="00DC5C10"/>
    <w:rsid w:val="00DC5CE8"/>
    <w:rsid w:val="00DC6FAD"/>
    <w:rsid w:val="00DD73D5"/>
    <w:rsid w:val="00DF1C47"/>
    <w:rsid w:val="00DF3BD4"/>
    <w:rsid w:val="00E30F10"/>
    <w:rsid w:val="00E34B0F"/>
    <w:rsid w:val="00E445B6"/>
    <w:rsid w:val="00E5263A"/>
    <w:rsid w:val="00E55AB4"/>
    <w:rsid w:val="00E5773B"/>
    <w:rsid w:val="00E62906"/>
    <w:rsid w:val="00E71DD0"/>
    <w:rsid w:val="00E730A9"/>
    <w:rsid w:val="00E73112"/>
    <w:rsid w:val="00E7314E"/>
    <w:rsid w:val="00E821FD"/>
    <w:rsid w:val="00E82A3B"/>
    <w:rsid w:val="00E851A3"/>
    <w:rsid w:val="00E907C5"/>
    <w:rsid w:val="00E9169F"/>
    <w:rsid w:val="00EA07F9"/>
    <w:rsid w:val="00EA4B34"/>
    <w:rsid w:val="00EA7C91"/>
    <w:rsid w:val="00EB3435"/>
    <w:rsid w:val="00EB3989"/>
    <w:rsid w:val="00EB7241"/>
    <w:rsid w:val="00EC156C"/>
    <w:rsid w:val="00EC172C"/>
    <w:rsid w:val="00EC4E18"/>
    <w:rsid w:val="00EC5073"/>
    <w:rsid w:val="00ED57EE"/>
    <w:rsid w:val="00EE43A8"/>
    <w:rsid w:val="00EF10C1"/>
    <w:rsid w:val="00EF198C"/>
    <w:rsid w:val="00F005E8"/>
    <w:rsid w:val="00F0083A"/>
    <w:rsid w:val="00F008B0"/>
    <w:rsid w:val="00F0469E"/>
    <w:rsid w:val="00F060FC"/>
    <w:rsid w:val="00F25161"/>
    <w:rsid w:val="00F4218D"/>
    <w:rsid w:val="00F429E4"/>
    <w:rsid w:val="00F54543"/>
    <w:rsid w:val="00F54843"/>
    <w:rsid w:val="00F668DA"/>
    <w:rsid w:val="00F770BC"/>
    <w:rsid w:val="00F82B47"/>
    <w:rsid w:val="00F861AE"/>
    <w:rsid w:val="00F86DBA"/>
    <w:rsid w:val="00F90FD3"/>
    <w:rsid w:val="00F94DF3"/>
    <w:rsid w:val="00FA0C5D"/>
    <w:rsid w:val="00FB3EC5"/>
    <w:rsid w:val="00FB3FCC"/>
    <w:rsid w:val="00FB554D"/>
    <w:rsid w:val="00FC0E21"/>
    <w:rsid w:val="00FC748B"/>
    <w:rsid w:val="00FD1787"/>
    <w:rsid w:val="00FD35E9"/>
    <w:rsid w:val="00FE10BA"/>
    <w:rsid w:val="00FE17A8"/>
    <w:rsid w:val="00FE5183"/>
    <w:rsid w:val="00FE7D8A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78F2A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50042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11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E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73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/accelerateHP" TargetMode="External"/><Relationship Id="rId13" Type="http://schemas.openxmlformats.org/officeDocument/2006/relationships/hyperlink" Target="mailto:matthew.burns@sam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HPC@sam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tec.com/COMH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8E6D-103E-4D6B-B995-C27A2D29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LEAP Agency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Jignesh Shah</dc:creator>
  <cp:lastModifiedBy>Paul Eident</cp:lastModifiedBy>
  <cp:revision>3</cp:revision>
  <cp:lastPrinted>2017-10-30T20:02:00Z</cp:lastPrinted>
  <dcterms:created xsi:type="dcterms:W3CDTF">2021-06-21T12:44:00Z</dcterms:created>
  <dcterms:modified xsi:type="dcterms:W3CDTF">2021-07-14T13:41:00Z</dcterms:modified>
</cp:coreProperties>
</file>